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01" w:rsidRPr="008538BB" w:rsidRDefault="002A0B01" w:rsidP="002A0B01">
      <w:pPr>
        <w:jc w:val="both"/>
        <w:rPr>
          <w:rFonts w:asciiTheme="minorHAnsi" w:hAnsiTheme="minorHAnsi" w:cs="Arial"/>
        </w:rPr>
      </w:pPr>
    </w:p>
    <w:p w:rsidR="002A0B01" w:rsidRPr="008538BB" w:rsidRDefault="002A0B01" w:rsidP="002A0B01">
      <w:pPr>
        <w:ind w:left="708" w:firstLine="708"/>
        <w:jc w:val="both"/>
        <w:rPr>
          <w:rFonts w:asciiTheme="minorHAnsi" w:hAnsiTheme="minorHAnsi" w:cs="Arial"/>
          <w:b/>
        </w:rPr>
      </w:pPr>
      <w:r w:rsidRPr="008538BB">
        <w:rPr>
          <w:rFonts w:asciiTheme="minorHAnsi" w:hAnsiTheme="minorHAnsi" w:cs="Arial"/>
          <w:b/>
        </w:rPr>
        <w:t xml:space="preserve">  </w:t>
      </w:r>
      <w:r w:rsidR="00B56762" w:rsidRPr="008538BB">
        <w:rPr>
          <w:rFonts w:asciiTheme="minorHAnsi" w:hAnsiTheme="minorHAnsi" w:cs="Arial"/>
          <w:b/>
        </w:rPr>
        <w:t xml:space="preserve">       </w:t>
      </w:r>
      <w:r w:rsidRPr="008538BB">
        <w:rPr>
          <w:rFonts w:asciiTheme="minorHAnsi" w:hAnsiTheme="minorHAnsi" w:cs="Arial"/>
          <w:b/>
        </w:rPr>
        <w:t xml:space="preserve">   IZVEŠTAJ NADZORNOG ODBORA AD IMLEK</w:t>
      </w:r>
    </w:p>
    <w:p w:rsidR="002A0B01" w:rsidRPr="008538BB" w:rsidRDefault="002A0B01" w:rsidP="002A0B01">
      <w:pPr>
        <w:ind w:left="708" w:firstLine="708"/>
        <w:jc w:val="both"/>
        <w:rPr>
          <w:rFonts w:asciiTheme="minorHAnsi" w:hAnsiTheme="minorHAnsi" w:cs="Arial"/>
          <w:b/>
        </w:rPr>
      </w:pPr>
      <w:r w:rsidRPr="008538BB">
        <w:rPr>
          <w:rFonts w:asciiTheme="minorHAnsi" w:hAnsiTheme="minorHAnsi" w:cs="Arial"/>
          <w:b/>
        </w:rPr>
        <w:t xml:space="preserve">              </w:t>
      </w:r>
      <w:r w:rsidR="00B56762" w:rsidRPr="008538BB">
        <w:rPr>
          <w:rFonts w:asciiTheme="minorHAnsi" w:hAnsiTheme="minorHAnsi" w:cs="Arial"/>
          <w:b/>
        </w:rPr>
        <w:t xml:space="preserve">   </w:t>
      </w:r>
      <w:r w:rsidRPr="008538BB">
        <w:rPr>
          <w:rFonts w:asciiTheme="minorHAnsi" w:hAnsiTheme="minorHAnsi" w:cs="Arial"/>
          <w:b/>
        </w:rPr>
        <w:t xml:space="preserve"> </w:t>
      </w:r>
      <w:r w:rsidR="002E0B2F" w:rsidRPr="008538BB">
        <w:rPr>
          <w:rFonts w:asciiTheme="minorHAnsi" w:hAnsiTheme="minorHAnsi" w:cs="Arial"/>
          <w:b/>
        </w:rPr>
        <w:t xml:space="preserve">  </w:t>
      </w:r>
      <w:r w:rsidRPr="008538BB">
        <w:rPr>
          <w:rFonts w:asciiTheme="minorHAnsi" w:hAnsiTheme="minorHAnsi" w:cs="Arial"/>
          <w:b/>
        </w:rPr>
        <w:t xml:space="preserve"> O POSLOVANJU  u 2015. godini  </w:t>
      </w:r>
    </w:p>
    <w:p w:rsidR="002A0B01" w:rsidRPr="008538BB" w:rsidRDefault="002A0B01" w:rsidP="002A0B01">
      <w:pPr>
        <w:widowControl w:val="0"/>
        <w:tabs>
          <w:tab w:val="left" w:pos="0"/>
          <w:tab w:val="left" w:pos="204"/>
        </w:tabs>
        <w:jc w:val="both"/>
        <w:rPr>
          <w:rFonts w:asciiTheme="minorHAnsi" w:hAnsiTheme="minorHAnsi" w:cs="Arial"/>
        </w:rPr>
      </w:pPr>
      <w:r w:rsidRPr="008538BB">
        <w:rPr>
          <w:rFonts w:asciiTheme="minorHAnsi" w:hAnsiTheme="minorHAnsi" w:cs="Arial"/>
        </w:rPr>
        <w:t>.</w:t>
      </w:r>
    </w:p>
    <w:p w:rsidR="002A0B01" w:rsidRPr="008538BB" w:rsidRDefault="002A0B01" w:rsidP="002A0B01">
      <w:pPr>
        <w:widowControl w:val="0"/>
        <w:tabs>
          <w:tab w:val="left" w:pos="0"/>
          <w:tab w:val="left" w:pos="204"/>
        </w:tabs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538BB">
        <w:rPr>
          <w:rFonts w:asciiTheme="minorHAnsi" w:hAnsiTheme="minorHAnsi" w:cs="Arial"/>
          <w:b/>
          <w:sz w:val="22"/>
          <w:szCs w:val="22"/>
        </w:rPr>
        <w:t xml:space="preserve">USVAJANJE GODIŠNJIH POPISA 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U skladu sa zakonskim obavezama Nadzorni odbor je doneo odluku o usvajanju redovnog godišnjeg popisa u zakonskim rokovima.</w:t>
      </w:r>
    </w:p>
    <w:p w:rsidR="00B56762" w:rsidRPr="008538BB" w:rsidRDefault="00B56762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tabs>
          <w:tab w:val="left" w:pos="2085"/>
        </w:tabs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ab/>
      </w:r>
    </w:p>
    <w:p w:rsidR="002A0B01" w:rsidRPr="008538BB" w:rsidRDefault="002A0B01" w:rsidP="002A0B01">
      <w:pPr>
        <w:tabs>
          <w:tab w:val="left" w:pos="990"/>
        </w:tabs>
        <w:jc w:val="both"/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</w:pPr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NADZOR I KONTROLA POSLOVANJA IZVRŠNOG ODBORA</w:t>
      </w:r>
    </w:p>
    <w:p w:rsidR="002A0B01" w:rsidRPr="008538BB" w:rsidRDefault="002A0B01" w:rsidP="002A0B01">
      <w:pPr>
        <w:tabs>
          <w:tab w:val="left" w:pos="990"/>
        </w:tabs>
        <w:jc w:val="both"/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</w:pPr>
    </w:p>
    <w:p w:rsidR="002A0B01" w:rsidRPr="008538BB" w:rsidRDefault="002A0B01" w:rsidP="002A0B01">
      <w:pPr>
        <w:tabs>
          <w:tab w:val="left" w:pos="990"/>
        </w:tabs>
        <w:jc w:val="both"/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</w:pPr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-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Računovodstvena</w:t>
      </w:r>
      <w:proofErr w:type="spellEnd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praksa</w:t>
      </w:r>
      <w:proofErr w:type="spellEnd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praksa</w:t>
      </w:r>
      <w:proofErr w:type="spellEnd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finansijskog</w:t>
      </w:r>
      <w:proofErr w:type="spellEnd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izveštavanja</w:t>
      </w:r>
      <w:proofErr w:type="spellEnd"/>
    </w:p>
    <w:p w:rsidR="002A0B01" w:rsidRPr="008538BB" w:rsidRDefault="002A0B01" w:rsidP="002A0B01">
      <w:pPr>
        <w:tabs>
          <w:tab w:val="left" w:pos="990"/>
        </w:tabs>
        <w:jc w:val="both"/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</w:pPr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-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Kvalifikovanost</w:t>
      </w:r>
      <w:proofErr w:type="spellEnd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nezavisnost</w:t>
      </w:r>
      <w:proofErr w:type="spellEnd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revizora</w:t>
      </w:r>
      <w:proofErr w:type="spellEnd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u 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odnosu</w:t>
      </w:r>
      <w:proofErr w:type="spellEnd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na</w:t>
      </w:r>
      <w:proofErr w:type="spellEnd"/>
      <w:proofErr w:type="gramEnd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Društvo</w:t>
      </w:r>
      <w:proofErr w:type="spellEnd"/>
    </w:p>
    <w:p w:rsidR="002A0B01" w:rsidRPr="008538BB" w:rsidRDefault="002A0B01" w:rsidP="002A0B01">
      <w:pPr>
        <w:tabs>
          <w:tab w:val="left" w:pos="990"/>
        </w:tabs>
        <w:jc w:val="both"/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</w:pPr>
    </w:p>
    <w:p w:rsidR="002A0B01" w:rsidRPr="008538BB" w:rsidRDefault="002A0B01" w:rsidP="002A0B01">
      <w:pPr>
        <w:tabs>
          <w:tab w:val="left" w:pos="990"/>
        </w:tabs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Nadzorni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odbor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je u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okviru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svojih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Zakonom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utvrđenih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nadležnosti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izvršio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uvid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kontrolu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sledeće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finansijske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druge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dokumentacije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:</w:t>
      </w:r>
    </w:p>
    <w:p w:rsidR="002A0B01" w:rsidRPr="008538BB" w:rsidRDefault="002A0B01" w:rsidP="002A0B01">
      <w:pPr>
        <w:tabs>
          <w:tab w:val="left" w:pos="990"/>
        </w:tabs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</w:p>
    <w:p w:rsidR="002A0B01" w:rsidRPr="008538BB" w:rsidRDefault="002A0B01" w:rsidP="002A0B01">
      <w:pPr>
        <w:numPr>
          <w:ilvl w:val="0"/>
          <w:numId w:val="1"/>
        </w:num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Bilanse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uspeha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u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periodu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od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01.01.2015. </w:t>
      </w:r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do</w:t>
      </w:r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31.12. 2015.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;</w:t>
      </w:r>
    </w:p>
    <w:p w:rsidR="002A0B01" w:rsidRPr="008538BB" w:rsidRDefault="002A0B01" w:rsidP="002A0B01">
      <w:pPr>
        <w:numPr>
          <w:ilvl w:val="0"/>
          <w:numId w:val="1"/>
        </w:num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Bilanse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stanja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dan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31.12.2015.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;</w:t>
      </w:r>
    </w:p>
    <w:p w:rsidR="002A0B01" w:rsidRPr="008538BB" w:rsidRDefault="002A0B01" w:rsidP="002A0B01">
      <w:pPr>
        <w:numPr>
          <w:ilvl w:val="0"/>
          <w:numId w:val="1"/>
        </w:num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Izveštaje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o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tokovima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gotovine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u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periodu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01.01. 2015. </w:t>
      </w:r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do</w:t>
      </w:r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31.12.2015.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;</w:t>
      </w:r>
    </w:p>
    <w:p w:rsidR="002A0B01" w:rsidRPr="008538BB" w:rsidRDefault="002A0B01" w:rsidP="002A0B01">
      <w:pPr>
        <w:numPr>
          <w:ilvl w:val="0"/>
          <w:numId w:val="1"/>
        </w:num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Izveštaje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o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promenama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kapitalu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u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periodu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od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01.01.2015.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godine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do 31.12.2015.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;</w:t>
      </w:r>
    </w:p>
    <w:p w:rsidR="002A0B01" w:rsidRPr="008538BB" w:rsidRDefault="002A0B01" w:rsidP="002A0B01">
      <w:pPr>
        <w:numPr>
          <w:ilvl w:val="0"/>
          <w:numId w:val="1"/>
        </w:num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Napomene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uz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Finansijske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izveštaje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2015.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;</w:t>
      </w:r>
    </w:p>
    <w:p w:rsidR="002A0B01" w:rsidRPr="008538BB" w:rsidRDefault="002A0B01" w:rsidP="002A0B01">
      <w:pPr>
        <w:numPr>
          <w:ilvl w:val="0"/>
          <w:numId w:val="1"/>
        </w:num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Izveštaj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sa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mišljenjem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nezavisnog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revizora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–</w:t>
      </w:r>
      <w:r w:rsidRPr="008538BB">
        <w:rPr>
          <w:rFonts w:asciiTheme="minorHAnsi" w:hAnsiTheme="minorHAnsi" w:cs="Arial"/>
          <w:b/>
          <w:sz w:val="22"/>
          <w:szCs w:val="22"/>
        </w:rPr>
        <w:t xml:space="preserve"> </w:t>
      </w:r>
      <w:r w:rsidR="002E0B2F" w:rsidRPr="008538BB">
        <w:rPr>
          <w:rFonts w:asciiTheme="minorHAnsi" w:hAnsiTheme="minorHAnsi" w:cs="Arial"/>
          <w:sz w:val="22"/>
          <w:szCs w:val="22"/>
        </w:rPr>
        <w:t>KPMG</w:t>
      </w:r>
      <w:r w:rsidRPr="008538BB">
        <w:rPr>
          <w:rFonts w:asciiTheme="minorHAnsi" w:hAnsiTheme="minorHAnsi" w:cs="Arial"/>
          <w:sz w:val="22"/>
          <w:szCs w:val="22"/>
        </w:rPr>
        <w:t xml:space="preserve"> doo</w:t>
      </w:r>
      <w:r w:rsidR="002E0B2F" w:rsidRPr="008538BB">
        <w:rPr>
          <w:rFonts w:asciiTheme="minorHAnsi" w:hAnsiTheme="minorHAnsi" w:cs="Arial"/>
          <w:sz w:val="22"/>
          <w:szCs w:val="22"/>
        </w:rPr>
        <w:t>, Beograd</w:t>
      </w:r>
      <w:r w:rsidRPr="008538BB">
        <w:rPr>
          <w:rFonts w:asciiTheme="minorHAnsi" w:hAnsiTheme="minorHAnsi" w:cs="Arial"/>
          <w:sz w:val="22"/>
          <w:szCs w:val="22"/>
        </w:rPr>
        <w:t xml:space="preserve"> </w:t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o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Finansijskim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izveštajima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2015.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godinu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.</w:t>
      </w:r>
    </w:p>
    <w:p w:rsidR="002A0B01" w:rsidRPr="008538BB" w:rsidRDefault="002A0B01" w:rsidP="002A0B01">
      <w:pPr>
        <w:tabs>
          <w:tab w:val="left" w:pos="360"/>
        </w:tabs>
        <w:jc w:val="both"/>
        <w:rPr>
          <w:rFonts w:asciiTheme="minorHAnsi" w:eastAsia="Calibri" w:hAnsiTheme="minorHAnsi" w:cs="Tahoma"/>
          <w:sz w:val="22"/>
          <w:szCs w:val="22"/>
          <w:highlight w:val="yellow"/>
          <w:lang w:val="en-US" w:eastAsia="en-US"/>
        </w:rPr>
      </w:pPr>
    </w:p>
    <w:p w:rsidR="002A0B01" w:rsidRPr="008538BB" w:rsidRDefault="002A0B01" w:rsidP="002A0B01">
      <w:pPr>
        <w:tabs>
          <w:tab w:val="left" w:pos="360"/>
        </w:tabs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Predsednik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članovi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Nadzornog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odbora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mišljenja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potrebe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kontrole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, a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nakon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uvida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u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dostavljenu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dokumentaciju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od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strane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Službi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Dru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eastAsia="en-US"/>
        </w:rPr>
        <w:t xml:space="preserve">štva,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nisu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bile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potrebne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posebne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kontrole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rasprave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Izvršnim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odborom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nezavisnim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revizorom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.</w:t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ab/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ab/>
      </w:r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 xml:space="preserve"> </w:t>
      </w:r>
    </w:p>
    <w:p w:rsidR="002A0B01" w:rsidRPr="008538BB" w:rsidRDefault="002A0B01" w:rsidP="002A0B01">
      <w:pPr>
        <w:tabs>
          <w:tab w:val="left" w:pos="360"/>
        </w:tabs>
        <w:jc w:val="center"/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</w:pPr>
    </w:p>
    <w:p w:rsidR="002A0B01" w:rsidRPr="008538BB" w:rsidRDefault="002A0B01" w:rsidP="002A0B01">
      <w:p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Po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mišljenju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Nadzornog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odbora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:</w:t>
      </w:r>
    </w:p>
    <w:p w:rsidR="002A0B01" w:rsidRPr="008538BB" w:rsidRDefault="002A0B01" w:rsidP="002A0B01">
      <w:pPr>
        <w:ind w:firstLine="720"/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</w:p>
    <w:p w:rsidR="002A0B01" w:rsidRPr="008538BB" w:rsidRDefault="002A0B01" w:rsidP="002A0B01">
      <w:pPr>
        <w:tabs>
          <w:tab w:val="left" w:pos="1080"/>
        </w:tabs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Finansijski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izveštaji</w:t>
      </w:r>
      <w:proofErr w:type="spellEnd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</w:t>
      </w:r>
      <w:proofErr w:type="spellEnd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2015</w:t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.</w:t>
      </w:r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godinu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sastavljeni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u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skladu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Zakonom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o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računovodstvu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Republike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Srbije (»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Službeni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glasnik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«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Republike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Srbije, br. 62/2013).</w:t>
      </w:r>
    </w:p>
    <w:p w:rsidR="002A0B01" w:rsidRPr="008538BB" w:rsidRDefault="002A0B01" w:rsidP="002A0B01">
      <w:p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Poslovanje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Društva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,</w:t>
      </w:r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njegovih</w:t>
      </w:r>
      <w:proofErr w:type="spellEnd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službi</w:t>
      </w:r>
      <w:proofErr w:type="spellEnd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</w:t>
      </w:r>
      <w:proofErr w:type="spellEnd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organa</w:t>
      </w:r>
      <w:proofErr w:type="spellEnd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u 2015</w:t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.</w:t>
      </w:r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godini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odvijalo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se u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skladu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zakonskim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propisima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drugim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zahtevima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regulatornih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tela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;</w:t>
      </w:r>
    </w:p>
    <w:p w:rsidR="002A0B01" w:rsidRPr="008538BB" w:rsidRDefault="002A0B01" w:rsidP="002A0B01">
      <w:p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</w:p>
    <w:p w:rsidR="002A0B01" w:rsidRPr="008538BB" w:rsidRDefault="002A0B01" w:rsidP="002A0B01">
      <w:p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Revizij</w:t>
      </w:r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u</w:t>
      </w:r>
      <w:proofErr w:type="spellEnd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Finansijskih</w:t>
      </w:r>
      <w:proofErr w:type="spellEnd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izveštaja</w:t>
      </w:r>
      <w:proofErr w:type="spellEnd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</w:t>
      </w:r>
      <w:proofErr w:type="spellEnd"/>
      <w:r w:rsidR="009A44BA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2015</w:t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.</w:t>
      </w:r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godinu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izvršio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je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nezavisni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revizor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–</w:t>
      </w:r>
      <w:r w:rsidRPr="008538B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538BB">
        <w:rPr>
          <w:rFonts w:asciiTheme="minorHAnsi" w:hAnsiTheme="minorHAnsi" w:cs="Arial"/>
          <w:sz w:val="22"/>
          <w:szCs w:val="22"/>
        </w:rPr>
        <w:t>KPMG</w:t>
      </w:r>
      <w:r w:rsidRPr="008538B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538BB">
        <w:rPr>
          <w:rFonts w:asciiTheme="minorHAnsi" w:hAnsiTheme="minorHAnsi" w:cs="Arial"/>
          <w:sz w:val="22"/>
          <w:szCs w:val="22"/>
        </w:rPr>
        <w:t>d.o.o.</w:t>
      </w:r>
      <w:r w:rsidR="0053168D" w:rsidRPr="008538BB">
        <w:rPr>
          <w:rFonts w:asciiTheme="minorHAnsi" w:hAnsiTheme="minorHAnsi" w:cs="Arial"/>
          <w:sz w:val="22"/>
          <w:szCs w:val="22"/>
        </w:rPr>
        <w:t xml:space="preserve"> Beograd, </w:t>
      </w:r>
      <w:r w:rsidR="009A44BA" w:rsidRPr="008538BB">
        <w:rPr>
          <w:rFonts w:asciiTheme="minorHAnsi" w:hAnsiTheme="minorHAnsi" w:cs="Arial"/>
          <w:sz w:val="22"/>
          <w:szCs w:val="22"/>
        </w:rPr>
        <w:t xml:space="preserve"> </w:t>
      </w:r>
      <w:r w:rsidR="0053168D" w:rsidRPr="008538BB">
        <w:rPr>
          <w:rFonts w:asciiTheme="minorHAnsi" w:hAnsiTheme="minorHAnsi" w:cs="Arial"/>
          <w:sz w:val="22"/>
          <w:szCs w:val="22"/>
        </w:rPr>
        <w:t xml:space="preserve">Kraljice Natalije broj 11, MB: 17148656, PIB: 100058593 </w:t>
      </w:r>
      <w:r w:rsidRPr="008538B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koji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je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dao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pozitivno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mišljenje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Finansijske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izveštaje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.</w:t>
      </w:r>
    </w:p>
    <w:p w:rsidR="002A0B01" w:rsidRPr="008538BB" w:rsidRDefault="002A0B01" w:rsidP="002A0B01">
      <w:pPr>
        <w:tabs>
          <w:tab w:val="left" w:pos="7110"/>
        </w:tabs>
        <w:ind w:left="720"/>
        <w:contextualSpacing/>
        <w:jc w:val="both"/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</w:pP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ab/>
      </w:r>
    </w:p>
    <w:p w:rsidR="002A0B01" w:rsidRPr="008538BB" w:rsidRDefault="002A0B01" w:rsidP="002A0B01">
      <w:p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Nadzorni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odbor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nema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prigovora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kvalifikovanost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,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nezavisnost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sposobnost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nezavisnog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revizora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koji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je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izvršio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reviziju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Finansijskih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izveštaja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Dr</w:t>
      </w:r>
      <w:r w:rsidRPr="008538BB">
        <w:rPr>
          <w:rFonts w:asciiTheme="minorHAnsi" w:eastAsia="Calibri" w:hAnsiTheme="minorHAnsi" w:cs="Tahoma"/>
          <w:sz w:val="22"/>
          <w:szCs w:val="22"/>
          <w:lang w:eastAsia="en-US"/>
        </w:rPr>
        <w:t>uštva</w:t>
      </w:r>
      <w:r w:rsidR="0053168D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="0053168D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</w:t>
      </w:r>
      <w:proofErr w:type="spellEnd"/>
      <w:r w:rsidR="0053168D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2015</w:t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godinu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.</w:t>
      </w:r>
    </w:p>
    <w:p w:rsidR="00B56762" w:rsidRPr="008538BB" w:rsidRDefault="00B56762" w:rsidP="002A0B01">
      <w:p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</w:p>
    <w:p w:rsidR="00B56762" w:rsidRPr="008538BB" w:rsidRDefault="00B56762" w:rsidP="002A0B01">
      <w:pPr>
        <w:contextualSpacing/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</w:p>
    <w:p w:rsidR="002A0B01" w:rsidRPr="008538BB" w:rsidRDefault="002A0B01" w:rsidP="002A0B01">
      <w:pPr>
        <w:pStyle w:val="Heading1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lastRenderedPageBreak/>
        <w:t xml:space="preserve">USKLAĐENOST POSLOVANJA DRUŠTVA SA ZAKONOM I DRUGIM PROPISIMA 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Ovaj Izveštaj o usklađenosti poslovanja Društva sa zakonom i drugim propisima (u daljem tekstu: Izveštaj)  sačinjen je u skladu sa našom obavezom kao Nadzornog odbora Društva, da u skladu sa Zakonom o privrednim društvima („Službeni glasnik RS“, br. 36/2011, 99/2011, 83/2014 i 5/2015), sačinimo i podnesemo Skupštini Društva predmetni Izveštaj, radi njegovog usvajanja na redovnoj sednici Skupštine Društva.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Kako se ovaj Izveštaj podnosi Skupštini Društva na usvajanje na redovnoj sednici Skupštine Društva na kojoj se usvajaju finans</w:t>
      </w:r>
      <w:r w:rsidR="0053168D" w:rsidRPr="008538BB">
        <w:rPr>
          <w:rFonts w:asciiTheme="minorHAnsi" w:hAnsiTheme="minorHAnsi" w:cs="Arial"/>
          <w:sz w:val="22"/>
          <w:szCs w:val="22"/>
        </w:rPr>
        <w:t>ijski izveštaji za poslovnu 2015</w:t>
      </w:r>
      <w:r w:rsidRPr="008538BB">
        <w:rPr>
          <w:rFonts w:asciiTheme="minorHAnsi" w:hAnsiTheme="minorHAnsi" w:cs="Arial"/>
          <w:sz w:val="22"/>
          <w:szCs w:val="22"/>
        </w:rPr>
        <w:t>. godinu, to se i sam Izveštaj o usklađenosti poslovanja Društv</w:t>
      </w:r>
      <w:r w:rsidR="0053168D" w:rsidRPr="008538BB">
        <w:rPr>
          <w:rFonts w:asciiTheme="minorHAnsi" w:hAnsiTheme="minorHAnsi" w:cs="Arial"/>
          <w:sz w:val="22"/>
          <w:szCs w:val="22"/>
        </w:rPr>
        <w:t>a takođe odnosi na poslovnu 2015</w:t>
      </w:r>
      <w:r w:rsidRPr="008538BB">
        <w:rPr>
          <w:rFonts w:asciiTheme="minorHAnsi" w:hAnsiTheme="minorHAnsi" w:cs="Arial"/>
          <w:sz w:val="22"/>
          <w:szCs w:val="22"/>
        </w:rPr>
        <w:t xml:space="preserve">. godinu. 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 xml:space="preserve">Preglednosti radi, ovaj Izveštaj strukturisan je na način da prikaže različite aspekte poslovanja Društva, odnosno da pruži podatke o zakonitosti rada Društva odnosno njegovoj usklađenosti sa zakonom i drugim propisima, i to: 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 xml:space="preserve">(a) korporativni aspekt, 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 xml:space="preserve">(b) finansijski aspekt, 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 xml:space="preserve">(c) poreski aspekt, 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(d) radno-pravni aspekt.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Detaljniji prikaz poslovanja sadržan je u nastavku, prema gore definisanim poglavljima.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numPr>
          <w:ilvl w:val="0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8538BB">
        <w:rPr>
          <w:rFonts w:asciiTheme="minorHAnsi" w:hAnsiTheme="minorHAnsi" w:cs="Arial"/>
          <w:b/>
          <w:sz w:val="22"/>
          <w:szCs w:val="22"/>
        </w:rPr>
        <w:t>Korporativni aspekt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 xml:space="preserve">Društvo je u svemu poštovalo principe korporativnog upravljanja Društvom sadržane u Statutu Društva i Zakonu. 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8538BB">
        <w:rPr>
          <w:rFonts w:asciiTheme="minorHAnsi" w:hAnsiTheme="minorHAnsi" w:cs="Arial"/>
          <w:sz w:val="22"/>
          <w:szCs w:val="22"/>
        </w:rPr>
        <w:t>U svojstvu Nadzornog odbora Društva sazivali smo sednice Skupštine Društva u skladu sa zakonom i opštim aktima Društva, a uz saziv smo akcionarima Društva dostavljali i dnevni red konkretne sednice Skupštine kao i nacrte odluka.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Spisak odluka koje je Skupština Društva donela stavljaju se na raspolaganje Skupštini odnosno akcionarima Društva,  u skladu sa zahtevom istih.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Takođe, akcionari Društva u svako doba imaju pravo da zahtevaju informacije prema zakonu i ovakvo pravo im nikada nije bilo uskraćeno.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U preduzimanju svake radnje, uvek smo postupali  u skladu sa našim dužnostima prema Društvu i u svemu smo ih poštovali.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Nismo zaključivali poslove u kojima postoji sukob interesa a u svakom slučaju kada je Društvo zaključivalo ugovore sa svojim povezanim licima bila je u svemu ispoštovana procedura odobravanja takvih poslova propisana zakonom.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B56762" w:rsidRPr="008538BB" w:rsidRDefault="00B56762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B56762" w:rsidRPr="008538BB" w:rsidRDefault="00B56762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numPr>
          <w:ilvl w:val="0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8538BB">
        <w:rPr>
          <w:rFonts w:asciiTheme="minorHAnsi" w:hAnsiTheme="minorHAnsi" w:cs="Arial"/>
          <w:b/>
          <w:sz w:val="22"/>
          <w:szCs w:val="22"/>
        </w:rPr>
        <w:lastRenderedPageBreak/>
        <w:t xml:space="preserve">Finansijski, knjigovodstveni i računovodstveni  aspekt  </w:t>
      </w:r>
    </w:p>
    <w:p w:rsidR="002A0B01" w:rsidRPr="008538BB" w:rsidRDefault="00DD4A1B" w:rsidP="002A0B01">
      <w:pPr>
        <w:ind w:left="720"/>
        <w:jc w:val="both"/>
        <w:rPr>
          <w:rFonts w:asciiTheme="minorHAnsi" w:hAnsiTheme="minorHAnsi" w:cs="Arial"/>
          <w:b/>
          <w:sz w:val="22"/>
          <w:szCs w:val="22"/>
        </w:rPr>
      </w:pPr>
      <w:r w:rsidRPr="008538BB">
        <w:rPr>
          <w:rFonts w:asciiTheme="minorHAnsi" w:hAnsiTheme="minorHAnsi" w:cs="Arial"/>
          <w:b/>
          <w:sz w:val="22"/>
          <w:szCs w:val="22"/>
        </w:rPr>
        <w:t xml:space="preserve"> </w:t>
      </w:r>
      <w:r w:rsidR="002A0B01" w:rsidRPr="008538BB">
        <w:rPr>
          <w:rFonts w:asciiTheme="minorHAnsi" w:hAnsiTheme="minorHAnsi" w:cs="Arial"/>
          <w:b/>
          <w:sz w:val="22"/>
          <w:szCs w:val="22"/>
        </w:rPr>
        <w:t>poslovanja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Podaci o finansijskom poslovanju Društva sadržani su u finansijskim izveštajima koji su pripremljeni od strane nadležnih službi i koji su podneti Skupštini Društva na usvajanje na redovnoj sednici Skupštine.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Finansijski izveštaji Društva z</w:t>
      </w:r>
      <w:r w:rsidR="0053168D" w:rsidRPr="008538BB">
        <w:rPr>
          <w:rFonts w:asciiTheme="minorHAnsi" w:hAnsiTheme="minorHAnsi" w:cs="Arial"/>
          <w:sz w:val="22"/>
          <w:szCs w:val="22"/>
        </w:rPr>
        <w:t>a poslovnu 2015</w:t>
      </w:r>
      <w:r w:rsidRPr="008538BB">
        <w:rPr>
          <w:rFonts w:asciiTheme="minorHAnsi" w:hAnsiTheme="minorHAnsi" w:cs="Arial"/>
          <w:sz w:val="22"/>
          <w:szCs w:val="22"/>
        </w:rPr>
        <w:t>. godinu bili su predmet revizije i izveštaj revizora ne ukazuje ni na kakve nepravilnosti.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U toku posl</w:t>
      </w:r>
      <w:r w:rsidR="0053168D" w:rsidRPr="008538BB">
        <w:rPr>
          <w:rFonts w:asciiTheme="minorHAnsi" w:hAnsiTheme="minorHAnsi" w:cs="Arial"/>
          <w:sz w:val="22"/>
          <w:szCs w:val="22"/>
        </w:rPr>
        <w:t>ovne 2015</w:t>
      </w:r>
      <w:r w:rsidRPr="008538BB">
        <w:rPr>
          <w:rFonts w:asciiTheme="minorHAnsi" w:hAnsiTheme="minorHAnsi" w:cs="Arial"/>
          <w:sz w:val="22"/>
          <w:szCs w:val="22"/>
        </w:rPr>
        <w:t>. godine protiv Društva i protiv nas kao odgovornih lica nije pokrenut nijedan sudski postupak, upravni postupak, postupak po privrednim prestupima odnosno prekršajni postupak po osnovu eventualnih kršenja obaveza Društva u odnosu na finansijski, knjigovodstveni i računovodstveni aspekt poslovanja Društva.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numPr>
          <w:ilvl w:val="0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8538BB">
        <w:rPr>
          <w:rFonts w:asciiTheme="minorHAnsi" w:hAnsiTheme="minorHAnsi" w:cs="Arial"/>
          <w:b/>
          <w:sz w:val="22"/>
          <w:szCs w:val="22"/>
        </w:rPr>
        <w:t>Poreski aspekt poslovanja Društva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Društvo je u skladu sa zakonom blagovremeno podnosilo poreske prijave nadležnoj poreskoj upravi i plaćalo porez u skladu sa podnetim prijavama.</w:t>
      </w:r>
    </w:p>
    <w:p w:rsidR="00DD4A1B" w:rsidRPr="008538BB" w:rsidRDefault="00DD4A1B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numPr>
          <w:ilvl w:val="0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8538BB">
        <w:rPr>
          <w:rFonts w:asciiTheme="minorHAnsi" w:hAnsiTheme="minorHAnsi" w:cs="Arial"/>
          <w:b/>
          <w:sz w:val="22"/>
          <w:szCs w:val="22"/>
        </w:rPr>
        <w:t>Radno-pravni aspekt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Tokom poslovne 2015. godine Društvo je u svemu postupalo u skladu sa obavezama propisanim zakonom i drugim propisima u oblastima radno-pravnih pitanja i zaštite na radu.</w:t>
      </w: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2A0B01" w:rsidRPr="008538BB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  <w:r w:rsidRPr="008538BB">
        <w:rPr>
          <w:rFonts w:asciiTheme="minorHAnsi" w:hAnsiTheme="minorHAnsi" w:cs="Arial"/>
          <w:sz w:val="22"/>
          <w:szCs w:val="22"/>
        </w:rPr>
        <w:t>U tom smislu, Društvo je redovno plaćalo pripadajuće poreze i doprinose po osnovu zarada i ugovora o delu odnosno</w:t>
      </w:r>
      <w:r w:rsidR="00DD4A1B" w:rsidRPr="008538BB">
        <w:rPr>
          <w:rFonts w:asciiTheme="minorHAnsi" w:hAnsiTheme="minorHAnsi" w:cs="Arial"/>
          <w:sz w:val="22"/>
          <w:szCs w:val="22"/>
        </w:rPr>
        <w:t xml:space="preserve"> drugih ugovora u vezi sa radno</w:t>
      </w:r>
      <w:r w:rsidRPr="008538BB">
        <w:rPr>
          <w:rFonts w:asciiTheme="minorHAnsi" w:hAnsiTheme="minorHAnsi" w:cs="Arial"/>
          <w:sz w:val="22"/>
          <w:szCs w:val="22"/>
        </w:rPr>
        <w:t xml:space="preserve">pravnim angažmanom mimo radnog odnosa.  </w:t>
      </w:r>
    </w:p>
    <w:p w:rsidR="002A0B01" w:rsidRDefault="002A0B01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8538BB" w:rsidRPr="008538BB" w:rsidRDefault="008538BB" w:rsidP="002A0B01">
      <w:pPr>
        <w:jc w:val="both"/>
        <w:rPr>
          <w:rFonts w:asciiTheme="minorHAnsi" w:hAnsiTheme="minorHAnsi" w:cs="Arial"/>
          <w:sz w:val="22"/>
          <w:szCs w:val="22"/>
        </w:rPr>
      </w:pPr>
    </w:p>
    <w:p w:rsidR="002A0B01" w:rsidRPr="008538BB" w:rsidRDefault="002A0B01" w:rsidP="002A0B01">
      <w:pPr>
        <w:jc w:val="both"/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</w:pPr>
      <w:r w:rsidRPr="008538BB"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  <w:t>ZAKLJUČAK</w:t>
      </w:r>
    </w:p>
    <w:p w:rsidR="002A0B01" w:rsidRPr="008538BB" w:rsidRDefault="002A0B01" w:rsidP="002A0B01">
      <w:pPr>
        <w:contextualSpacing/>
        <w:jc w:val="both"/>
        <w:rPr>
          <w:rFonts w:asciiTheme="minorHAnsi" w:eastAsia="Calibri" w:hAnsiTheme="minorHAnsi" w:cs="Tahoma"/>
          <w:b/>
          <w:sz w:val="22"/>
          <w:szCs w:val="22"/>
          <w:lang w:val="en-US" w:eastAsia="en-US"/>
        </w:rPr>
      </w:pP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ab/>
      </w:r>
    </w:p>
    <w:p w:rsidR="002A0B01" w:rsidRPr="008538BB" w:rsidRDefault="002A0B01" w:rsidP="002A0B01">
      <w:pPr>
        <w:tabs>
          <w:tab w:val="left" w:pos="360"/>
        </w:tabs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Nadzorni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odbor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 je</w:t>
      </w:r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,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osnovu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uvida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u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dokumentaciju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osnovu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kontrole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te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dokumentacije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,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utvrdio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Finansijski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izveštaji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Društva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2015.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godinu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sastavljeni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 u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skladu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zakonom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se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poslovanje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Društva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,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njegovih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službi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i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organa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u 2015. </w:t>
      </w:r>
      <w:proofErr w:type="spellStart"/>
      <w:proofErr w:type="gram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godini</w:t>
      </w:r>
      <w:proofErr w:type="spellEnd"/>
      <w:proofErr w:type="gram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odvijalo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u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skladu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sa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</w:t>
      </w:r>
      <w:proofErr w:type="spellStart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zakonom</w:t>
      </w:r>
      <w:proofErr w:type="spellEnd"/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>.</w:t>
      </w:r>
    </w:p>
    <w:p w:rsidR="00B56762" w:rsidRPr="008538BB" w:rsidRDefault="00B56762" w:rsidP="002A0B01">
      <w:pPr>
        <w:tabs>
          <w:tab w:val="left" w:pos="360"/>
        </w:tabs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</w:p>
    <w:p w:rsidR="00DD4A1B" w:rsidRPr="008538BB" w:rsidRDefault="00DD4A1B" w:rsidP="002A0B01">
      <w:pPr>
        <w:tabs>
          <w:tab w:val="left" w:pos="360"/>
        </w:tabs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</w:p>
    <w:p w:rsidR="00DD4A1B" w:rsidRDefault="00DD4A1B" w:rsidP="002A0B01">
      <w:pPr>
        <w:tabs>
          <w:tab w:val="left" w:pos="360"/>
        </w:tabs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</w:p>
    <w:p w:rsidR="008538BB" w:rsidRDefault="008538BB" w:rsidP="002A0B01">
      <w:pPr>
        <w:tabs>
          <w:tab w:val="left" w:pos="360"/>
        </w:tabs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</w:p>
    <w:p w:rsidR="008538BB" w:rsidRPr="008538BB" w:rsidRDefault="008538BB" w:rsidP="002A0B01">
      <w:pPr>
        <w:tabs>
          <w:tab w:val="left" w:pos="360"/>
        </w:tabs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</w:p>
    <w:p w:rsidR="00B56762" w:rsidRPr="008538BB" w:rsidRDefault="00B56762" w:rsidP="002A0B01">
      <w:pPr>
        <w:tabs>
          <w:tab w:val="left" w:pos="360"/>
        </w:tabs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</w:p>
    <w:p w:rsidR="002A0B01" w:rsidRPr="008538BB" w:rsidRDefault="002A0B01" w:rsidP="002A0B01">
      <w:pPr>
        <w:tabs>
          <w:tab w:val="left" w:pos="360"/>
        </w:tabs>
        <w:jc w:val="both"/>
        <w:rPr>
          <w:rFonts w:asciiTheme="minorHAnsi" w:eastAsia="Calibri" w:hAnsiTheme="minorHAnsi" w:cs="Tahoma"/>
          <w:sz w:val="22"/>
          <w:szCs w:val="22"/>
          <w:lang w:val="en-US" w:eastAsia="en-US"/>
        </w:rPr>
      </w:pP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ab/>
        <w:t xml:space="preserve">            </w:t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ab/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ab/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ab/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ab/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ab/>
        <w:t xml:space="preserve">    </w:t>
      </w:r>
      <w:r w:rsidR="00B56762"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                  </w:t>
      </w:r>
      <w:r w:rsidRPr="008538BB">
        <w:rPr>
          <w:rFonts w:asciiTheme="minorHAnsi" w:eastAsia="Calibri" w:hAnsiTheme="minorHAnsi" w:cs="Tahoma"/>
          <w:sz w:val="22"/>
          <w:szCs w:val="22"/>
          <w:lang w:val="en-US" w:eastAsia="en-US"/>
        </w:rPr>
        <w:t xml:space="preserve"> PREDSEDNIK NADZORNOG ODBORA </w:t>
      </w:r>
    </w:p>
    <w:p w:rsidR="002A0B01" w:rsidRDefault="002A0B01" w:rsidP="002A0B01">
      <w:pPr>
        <w:rPr>
          <w:rFonts w:asciiTheme="minorHAnsi" w:hAnsiTheme="minorHAnsi"/>
          <w:sz w:val="22"/>
          <w:szCs w:val="22"/>
        </w:rPr>
      </w:pPr>
      <w:r w:rsidRPr="008538BB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</w:t>
      </w:r>
      <w:r w:rsidR="00B56762" w:rsidRPr="008538BB">
        <w:rPr>
          <w:rFonts w:asciiTheme="minorHAnsi" w:hAnsiTheme="minorHAnsi"/>
          <w:sz w:val="22"/>
          <w:szCs w:val="22"/>
        </w:rPr>
        <w:t xml:space="preserve">                                                        </w:t>
      </w:r>
      <w:r w:rsidRPr="008538BB">
        <w:rPr>
          <w:rFonts w:asciiTheme="minorHAnsi" w:hAnsiTheme="minorHAnsi"/>
          <w:sz w:val="22"/>
          <w:szCs w:val="22"/>
        </w:rPr>
        <w:t xml:space="preserve"> AD IMLEK</w:t>
      </w:r>
    </w:p>
    <w:p w:rsidR="008538BB" w:rsidRPr="008538BB" w:rsidRDefault="008538BB" w:rsidP="002A0B01">
      <w:pPr>
        <w:rPr>
          <w:rFonts w:asciiTheme="minorHAnsi" w:hAnsiTheme="minorHAnsi"/>
          <w:sz w:val="22"/>
          <w:szCs w:val="22"/>
        </w:rPr>
      </w:pPr>
    </w:p>
    <w:p w:rsidR="002A0B01" w:rsidRPr="008538BB" w:rsidRDefault="002A0B01" w:rsidP="002A0B01">
      <w:pPr>
        <w:rPr>
          <w:rFonts w:asciiTheme="minorHAnsi" w:hAnsiTheme="minorHAnsi"/>
          <w:sz w:val="22"/>
          <w:szCs w:val="22"/>
        </w:rPr>
      </w:pPr>
      <w:r w:rsidRPr="008538BB">
        <w:rPr>
          <w:rFonts w:asciiTheme="minorHAnsi" w:hAnsiTheme="minorHAnsi"/>
          <w:sz w:val="22"/>
          <w:szCs w:val="22"/>
        </w:rPr>
        <w:t xml:space="preserve">                                </w:t>
      </w:r>
      <w:r w:rsidR="00B56762" w:rsidRPr="008538BB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___</w:t>
      </w:r>
      <w:r w:rsidRPr="008538BB">
        <w:rPr>
          <w:rFonts w:asciiTheme="minorHAnsi" w:hAnsiTheme="minorHAnsi"/>
          <w:sz w:val="22"/>
          <w:szCs w:val="22"/>
        </w:rPr>
        <w:t>___________________________</w:t>
      </w:r>
    </w:p>
    <w:p w:rsidR="00587860" w:rsidRPr="008538BB" w:rsidRDefault="002A0B01">
      <w:pPr>
        <w:rPr>
          <w:rFonts w:asciiTheme="minorHAnsi" w:hAnsiTheme="minorHAnsi"/>
          <w:sz w:val="22"/>
          <w:szCs w:val="22"/>
        </w:rPr>
      </w:pPr>
      <w:r w:rsidRPr="008538BB">
        <w:rPr>
          <w:rFonts w:asciiTheme="minorHAnsi" w:hAnsiTheme="minorHAnsi"/>
          <w:sz w:val="22"/>
          <w:szCs w:val="22"/>
        </w:rPr>
        <w:t xml:space="preserve">                                                                        </w:t>
      </w:r>
      <w:r w:rsidR="00B56762" w:rsidRPr="008538BB">
        <w:rPr>
          <w:rFonts w:asciiTheme="minorHAnsi" w:hAnsiTheme="minorHAnsi"/>
          <w:sz w:val="22"/>
          <w:szCs w:val="22"/>
        </w:rPr>
        <w:t xml:space="preserve">                                                     </w:t>
      </w:r>
      <w:r w:rsidRPr="008538BB">
        <w:rPr>
          <w:rFonts w:asciiTheme="minorHAnsi" w:hAnsiTheme="minorHAnsi"/>
          <w:sz w:val="22"/>
          <w:szCs w:val="22"/>
        </w:rPr>
        <w:t xml:space="preserve">  (Andrej Jovanović)</w:t>
      </w:r>
    </w:p>
    <w:sectPr w:rsidR="00587860" w:rsidRPr="008538BB" w:rsidSect="00C311C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173" w:rsidRDefault="008F3173" w:rsidP="00567C25">
      <w:r>
        <w:separator/>
      </w:r>
    </w:p>
  </w:endnote>
  <w:endnote w:type="continuationSeparator" w:id="0">
    <w:p w:rsidR="008F3173" w:rsidRDefault="008F3173" w:rsidP="00567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AE" w:rsidRDefault="00C7414F">
    <w:pPr>
      <w:pStyle w:val="Footer"/>
      <w:jc w:val="center"/>
    </w:pPr>
    <w:r>
      <w:fldChar w:fldCharType="begin"/>
    </w:r>
    <w:r w:rsidR="0053168D">
      <w:instrText xml:space="preserve"> PAGE   \* MERGEFORMAT </w:instrText>
    </w:r>
    <w:r>
      <w:fldChar w:fldCharType="separate"/>
    </w:r>
    <w:r w:rsidR="008538BB">
      <w:rPr>
        <w:noProof/>
      </w:rPr>
      <w:t>2</w:t>
    </w:r>
    <w:r>
      <w:fldChar w:fldCharType="end"/>
    </w:r>
  </w:p>
  <w:p w:rsidR="00E45CAE" w:rsidRDefault="008F31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173" w:rsidRDefault="008F3173" w:rsidP="00567C25">
      <w:r>
        <w:separator/>
      </w:r>
    </w:p>
  </w:footnote>
  <w:footnote w:type="continuationSeparator" w:id="0">
    <w:p w:rsidR="008F3173" w:rsidRDefault="008F3173" w:rsidP="00567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D3B3D"/>
    <w:multiLevelType w:val="hybridMultilevel"/>
    <w:tmpl w:val="3F701036"/>
    <w:lvl w:ilvl="0" w:tplc="2D26934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C6770"/>
    <w:multiLevelType w:val="hybridMultilevel"/>
    <w:tmpl w:val="39CC9604"/>
    <w:lvl w:ilvl="0" w:tplc="AAAAD074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B01"/>
    <w:rsid w:val="002A0B01"/>
    <w:rsid w:val="002E0B2F"/>
    <w:rsid w:val="003266B2"/>
    <w:rsid w:val="00495AD4"/>
    <w:rsid w:val="0053168D"/>
    <w:rsid w:val="00567C25"/>
    <w:rsid w:val="00587860"/>
    <w:rsid w:val="005D1907"/>
    <w:rsid w:val="008538BB"/>
    <w:rsid w:val="00853CA0"/>
    <w:rsid w:val="008F3173"/>
    <w:rsid w:val="009A44BA"/>
    <w:rsid w:val="009E189B"/>
    <w:rsid w:val="00B2547F"/>
    <w:rsid w:val="00B56762"/>
    <w:rsid w:val="00C7414F"/>
    <w:rsid w:val="00DD4A1B"/>
    <w:rsid w:val="00E0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2A0B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B01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2A0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B01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2A0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B01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9</cp:revision>
  <cp:lastPrinted>2016-05-11T13:56:00Z</cp:lastPrinted>
  <dcterms:created xsi:type="dcterms:W3CDTF">2016-05-11T13:21:00Z</dcterms:created>
  <dcterms:modified xsi:type="dcterms:W3CDTF">2016-05-13T14:11:00Z</dcterms:modified>
</cp:coreProperties>
</file>